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E5" w:rsidRDefault="005C3F4B">
      <w:pPr>
        <w:ind w:left="200"/>
      </w:pPr>
      <w:proofErr w:type="spellStart"/>
      <w:r>
        <w:t>Asianet</w:t>
      </w:r>
      <w:proofErr w:type="spellEnd"/>
      <w:r>
        <w:t xml:space="preserve"> 96365</w:t>
      </w:r>
      <w:r w:rsidR="00BB614F">
        <w:br/>
      </w:r>
    </w:p>
    <w:p w:rsidR="00E539E5" w:rsidRDefault="00BB614F">
      <w:pPr>
        <w:ind w:left="200"/>
        <w:rPr>
          <w:lang w:eastAsia="ja-JP"/>
        </w:rPr>
      </w:pPr>
      <w:r>
        <w:rPr>
          <w:b/>
          <w:lang w:eastAsia="ja-JP"/>
        </w:rPr>
        <w:t xml:space="preserve">Samsung Asset Management (Hong Kong) </w:t>
      </w:r>
      <w:r>
        <w:rPr>
          <w:b/>
          <w:lang w:eastAsia="ja-JP"/>
        </w:rPr>
        <w:t>がアジア初のブロックチェーン技術</w:t>
      </w:r>
      <w:r>
        <w:rPr>
          <w:b/>
          <w:lang w:eastAsia="ja-JP"/>
        </w:rPr>
        <w:t>ETF</w:t>
      </w:r>
      <w:r>
        <w:rPr>
          <w:b/>
          <w:lang w:eastAsia="ja-JP"/>
        </w:rPr>
        <w:t>を上場</w:t>
      </w:r>
    </w:p>
    <w:p w:rsidR="00E539E5" w:rsidRDefault="00BB614F">
      <w:pPr>
        <w:spacing w:before="319"/>
        <w:rPr>
          <w:lang w:eastAsia="ja-JP"/>
        </w:rPr>
      </w:pPr>
      <w:r>
        <w:rPr>
          <w:lang w:eastAsia="ja-JP"/>
        </w:rPr>
        <w:br/>
      </w:r>
      <w:r>
        <w:t>【香港</w:t>
      </w:r>
      <w:r>
        <w:t>2022</w:t>
      </w:r>
      <w:r>
        <w:t>年</w:t>
      </w:r>
      <w:r>
        <w:t>6</w:t>
      </w:r>
      <w:r>
        <w:t>月</w:t>
      </w:r>
      <w:r>
        <w:t>9</w:t>
      </w:r>
      <w:r>
        <w:t>日</w:t>
      </w:r>
      <w:r>
        <w:t>PR Newswire</w:t>
      </w:r>
      <w:r>
        <w:t>】</w:t>
      </w:r>
      <w:r>
        <w:t>Samsung Asset Management</w:t>
      </w:r>
      <w:r>
        <w:t>（</w:t>
      </w:r>
      <w:r>
        <w:t>Hong Kong</w:t>
      </w:r>
      <w:r>
        <w:t>）</w:t>
      </w:r>
      <w:r>
        <w:t>Limited</w:t>
      </w:r>
      <w:r>
        <w:t>（「</w:t>
      </w:r>
      <w:r>
        <w:t>SAMHK</w:t>
      </w:r>
      <w:r>
        <w:t>」）は、アジアで初めて（注</w:t>
      </w:r>
      <w:r>
        <w:t>1</w:t>
      </w:r>
      <w:r>
        <w:t>）のグローバルなブロックチェーン関連の上場投資信託（</w:t>
      </w:r>
      <w:r>
        <w:t>ETF</w:t>
      </w:r>
      <w:r>
        <w:t>）である「</w:t>
      </w:r>
      <w:r>
        <w:t>Samsung Blockchain Technologies ETF</w:t>
      </w:r>
      <w:r>
        <w:t>（香港ドル建てカウンター</w:t>
      </w:r>
      <w:r>
        <w:t>: 3171.HK</w:t>
      </w:r>
      <w:r>
        <w:t>）」の上場を発表した。</w:t>
      </w:r>
      <w:r>
        <w:rPr>
          <w:lang w:eastAsia="ja-JP"/>
        </w:rPr>
        <w:t>香港証券取引所（</w:t>
      </w:r>
      <w:r>
        <w:rPr>
          <w:lang w:eastAsia="ja-JP"/>
        </w:rPr>
        <w:t>SEHK</w:t>
      </w:r>
      <w:r>
        <w:rPr>
          <w:lang w:eastAsia="ja-JP"/>
        </w:rPr>
        <w:t>）への上場期日は</w:t>
      </w:r>
      <w:r>
        <w:rPr>
          <w:lang w:eastAsia="ja-JP"/>
        </w:rPr>
        <w:t>2022</w:t>
      </w:r>
      <w:r>
        <w:rPr>
          <w:lang w:eastAsia="ja-JP"/>
        </w:rPr>
        <w:t>年</w:t>
      </w:r>
      <w:r>
        <w:rPr>
          <w:lang w:eastAsia="ja-JP"/>
        </w:rPr>
        <w:t>6</w:t>
      </w:r>
      <w:r>
        <w:rPr>
          <w:lang w:eastAsia="ja-JP"/>
        </w:rPr>
        <w:t>月</w:t>
      </w:r>
      <w:r>
        <w:rPr>
          <w:lang w:eastAsia="ja-JP"/>
        </w:rPr>
        <w:t>23</w:t>
      </w:r>
      <w:r>
        <w:rPr>
          <w:lang w:eastAsia="ja-JP"/>
        </w:rPr>
        <w:t>日（木）。この</w:t>
      </w:r>
      <w:r>
        <w:rPr>
          <w:lang w:eastAsia="ja-JP"/>
        </w:rPr>
        <w:t>ETF</w:t>
      </w:r>
      <w:r>
        <w:rPr>
          <w:lang w:eastAsia="ja-JP"/>
        </w:rPr>
        <w:t>は上場価格が</w:t>
      </w:r>
      <w:r>
        <w:rPr>
          <w:lang w:eastAsia="ja-JP"/>
        </w:rPr>
        <w:t>2.0</w:t>
      </w:r>
      <w:r>
        <w:rPr>
          <w:lang w:eastAsia="ja-JP"/>
        </w:rPr>
        <w:t>米ドル（約</w:t>
      </w:r>
      <w:r>
        <w:rPr>
          <w:lang w:eastAsia="ja-JP"/>
        </w:rPr>
        <w:t>15.6</w:t>
      </w:r>
      <w:r>
        <w:rPr>
          <w:lang w:eastAsia="ja-JP"/>
        </w:rPr>
        <w:t>香港ドル）に設定され、取引単位</w:t>
      </w:r>
      <w:r>
        <w:rPr>
          <w:lang w:eastAsia="ja-JP"/>
        </w:rPr>
        <w:t>50</w:t>
      </w:r>
      <w:r>
        <w:rPr>
          <w:lang w:eastAsia="ja-JP"/>
        </w:rPr>
        <w:t>ユニットの初期投資額は約</w:t>
      </w:r>
      <w:r>
        <w:rPr>
          <w:lang w:eastAsia="ja-JP"/>
        </w:rPr>
        <w:t xml:space="preserve">100 </w:t>
      </w:r>
      <w:r>
        <w:rPr>
          <w:lang w:eastAsia="ja-JP"/>
        </w:rPr>
        <w:t>米ドル（約</w:t>
      </w:r>
      <w:r>
        <w:rPr>
          <w:lang w:eastAsia="ja-JP"/>
        </w:rPr>
        <w:t>780</w:t>
      </w:r>
      <w:r>
        <w:rPr>
          <w:lang w:eastAsia="ja-JP"/>
        </w:rPr>
        <w:t>香港ドル）となる。</w:t>
      </w:r>
      <w:r>
        <w:rPr>
          <w:lang w:eastAsia="ja-JP"/>
        </w:rPr>
        <w:t>ETF</w:t>
      </w:r>
      <w:r>
        <w:rPr>
          <w:lang w:eastAsia="ja-JP"/>
        </w:rPr>
        <w:t>は香港ドルで取引される。</w:t>
      </w:r>
    </w:p>
    <w:p w:rsidR="00E539E5" w:rsidRDefault="00BB614F">
      <w:pPr>
        <w:spacing w:before="319"/>
        <w:rPr>
          <w:lang w:eastAsia="ja-JP"/>
        </w:rPr>
      </w:pPr>
      <w:r>
        <w:rPr>
          <w:lang w:eastAsia="ja-JP"/>
        </w:rPr>
        <w:t>ブロックチェーンはピアツーピアで共有する分散型台帳で、ユーザー間でのデータや資産の移転を比較的効率よく安全に行うことを支援する。従来のデータ保存と比べてブロックチェーン技術は、安全性と透明性を高め、取引コストを削減する利点がある。ブロックチェーンの市場規模は</w:t>
      </w:r>
      <w:r>
        <w:rPr>
          <w:lang w:eastAsia="ja-JP"/>
        </w:rPr>
        <w:t>49</w:t>
      </w:r>
      <w:r>
        <w:rPr>
          <w:lang w:eastAsia="ja-JP"/>
        </w:rPr>
        <w:t>億米ドルから</w:t>
      </w:r>
      <w:r>
        <w:rPr>
          <w:lang w:eastAsia="ja-JP"/>
        </w:rPr>
        <w:t>2028</w:t>
      </w:r>
      <w:r>
        <w:rPr>
          <w:lang w:eastAsia="ja-JP"/>
        </w:rPr>
        <w:t>年には</w:t>
      </w:r>
      <w:r>
        <w:rPr>
          <w:lang w:eastAsia="ja-JP"/>
        </w:rPr>
        <w:t>2</w:t>
      </w:r>
      <w:r w:rsidR="00D7268C">
        <w:rPr>
          <w:lang w:eastAsia="ja-JP"/>
        </w:rPr>
        <w:t>,</w:t>
      </w:r>
      <w:r>
        <w:rPr>
          <w:lang w:eastAsia="ja-JP"/>
        </w:rPr>
        <w:t>279</w:t>
      </w:r>
      <w:r>
        <w:rPr>
          <w:lang w:eastAsia="ja-JP"/>
        </w:rPr>
        <w:t>億米ドルと、</w:t>
      </w:r>
      <w:r>
        <w:rPr>
          <w:lang w:eastAsia="ja-JP"/>
        </w:rPr>
        <w:t>72.9%</w:t>
      </w:r>
      <w:r>
        <w:rPr>
          <w:lang w:eastAsia="ja-JP"/>
        </w:rPr>
        <w:t>（注</w:t>
      </w:r>
      <w:r>
        <w:rPr>
          <w:lang w:eastAsia="ja-JP"/>
        </w:rPr>
        <w:t>2</w:t>
      </w:r>
      <w:r>
        <w:rPr>
          <w:lang w:eastAsia="ja-JP"/>
        </w:rPr>
        <w:t>）の年平均成長率（</w:t>
      </w:r>
      <w:r>
        <w:rPr>
          <w:lang w:eastAsia="ja-JP"/>
        </w:rPr>
        <w:t>CAGR</w:t>
      </w:r>
      <w:r>
        <w:rPr>
          <w:lang w:eastAsia="ja-JP"/>
        </w:rPr>
        <w:t>）が見込まれる。ブロックチェーンは</w:t>
      </w:r>
      <w:r>
        <w:rPr>
          <w:lang w:eastAsia="ja-JP"/>
        </w:rPr>
        <w:t>2027</w:t>
      </w:r>
      <w:r>
        <w:rPr>
          <w:lang w:eastAsia="ja-JP"/>
        </w:rPr>
        <w:t>年には世界の国内総生産（</w:t>
      </w:r>
      <w:r>
        <w:rPr>
          <w:lang w:eastAsia="ja-JP"/>
        </w:rPr>
        <w:t>GDP</w:t>
      </w:r>
      <w:r>
        <w:rPr>
          <w:lang w:eastAsia="ja-JP"/>
        </w:rPr>
        <w:t>）に相当する価額の</w:t>
      </w:r>
      <w:r>
        <w:rPr>
          <w:lang w:eastAsia="ja-JP"/>
        </w:rPr>
        <w:t>10%</w:t>
      </w:r>
      <w:r>
        <w:rPr>
          <w:lang w:eastAsia="ja-JP"/>
        </w:rPr>
        <w:t>を占める可能性がある（注</w:t>
      </w:r>
      <w:r>
        <w:rPr>
          <w:lang w:eastAsia="ja-JP"/>
        </w:rPr>
        <w:t>3</w:t>
      </w:r>
      <w:r>
        <w:rPr>
          <w:lang w:eastAsia="ja-JP"/>
        </w:rPr>
        <w:t>）。ブロックチェーン技術が急速に進化する中で、アクティブ運用による</w:t>
      </w:r>
      <w:r>
        <w:rPr>
          <w:lang w:eastAsia="ja-JP"/>
        </w:rPr>
        <w:t>ETF</w:t>
      </w:r>
      <w:r>
        <w:rPr>
          <w:lang w:eastAsia="ja-JP"/>
        </w:rPr>
        <w:t>によりポートフォリオマネジャーは極めて柔軟に投資機会をとらえることができる。この</w:t>
      </w:r>
      <w:r>
        <w:rPr>
          <w:lang w:eastAsia="ja-JP"/>
        </w:rPr>
        <w:t>ETF</w:t>
      </w:r>
      <w:r>
        <w:rPr>
          <w:lang w:eastAsia="ja-JP"/>
        </w:rPr>
        <w:t>は、研究開発（</w:t>
      </w:r>
      <w:r>
        <w:rPr>
          <w:lang w:eastAsia="ja-JP"/>
        </w:rPr>
        <w:t>R&amp;D</w:t>
      </w:r>
      <w:r>
        <w:rPr>
          <w:lang w:eastAsia="ja-JP"/>
        </w:rPr>
        <w:t>）</w:t>
      </w:r>
      <w:r w:rsidR="00D7268C">
        <w:rPr>
          <w:lang w:eastAsia="ja-JP"/>
        </w:rPr>
        <w:t>、</w:t>
      </w:r>
      <w:r>
        <w:rPr>
          <w:lang w:eastAsia="ja-JP"/>
        </w:rPr>
        <w:t>受益者</w:t>
      </w:r>
      <w:r w:rsidR="00D7268C">
        <w:rPr>
          <w:rFonts w:eastAsia="ＭＳ 明朝" w:hint="eastAsia"/>
          <w:lang w:eastAsia="ja-JP"/>
        </w:rPr>
        <w:t>と</w:t>
      </w:r>
      <w:r>
        <w:rPr>
          <w:lang w:eastAsia="ja-JP"/>
        </w:rPr>
        <w:t>投資家など世界のブロックチェーン関連企業へ投資する。</w:t>
      </w:r>
    </w:p>
    <w:p w:rsidR="00E539E5" w:rsidRDefault="00BB614F">
      <w:pPr>
        <w:spacing w:before="319"/>
        <w:rPr>
          <w:lang w:eastAsia="ja-JP"/>
        </w:rPr>
      </w:pPr>
      <w:r>
        <w:rPr>
          <w:lang w:eastAsia="ja-JP"/>
        </w:rPr>
        <w:t>ETF</w:t>
      </w:r>
      <w:r>
        <w:rPr>
          <w:lang w:eastAsia="ja-JP"/>
        </w:rPr>
        <w:t>・パッシブ投資</w:t>
      </w:r>
      <w:r w:rsidR="00D7268C" w:rsidRPr="00D7268C">
        <w:rPr>
          <w:rFonts w:hint="eastAsia"/>
          <w:lang w:eastAsia="ja-JP"/>
        </w:rPr>
        <w:t>専務</w:t>
      </w:r>
      <w:r>
        <w:rPr>
          <w:lang w:eastAsia="ja-JP"/>
        </w:rPr>
        <w:t>の</w:t>
      </w:r>
      <w:r>
        <w:rPr>
          <w:lang w:eastAsia="ja-JP"/>
        </w:rPr>
        <w:t>Carmen Cheung</w:t>
      </w:r>
      <w:r>
        <w:rPr>
          <w:lang w:eastAsia="ja-JP"/>
        </w:rPr>
        <w:t>氏は「データの処理と蓄積への需要は、デジタル世界の進化によって加速する。ブロックチェーン技術はさまざまなビジネスでもっと幅広く利用され、データの効率と安全性を向上させ、アクセス時間を短縮する。われわれはこれをデジタルトランスフォーメーションの未来のトレンドの</w:t>
      </w:r>
      <w:r>
        <w:rPr>
          <w:lang w:eastAsia="ja-JP"/>
        </w:rPr>
        <w:t>1</w:t>
      </w:r>
      <w:r>
        <w:rPr>
          <w:lang w:eastAsia="ja-JP"/>
        </w:rPr>
        <w:t>つとみている」と語った。</w:t>
      </w:r>
    </w:p>
    <w:p w:rsidR="00E539E5" w:rsidRDefault="00BB614F">
      <w:pPr>
        <w:spacing w:before="319"/>
        <w:rPr>
          <w:lang w:eastAsia="ja-JP"/>
        </w:rPr>
      </w:pPr>
      <w:r>
        <w:rPr>
          <w:lang w:eastAsia="ja-JP"/>
        </w:rPr>
        <w:t>（注</w:t>
      </w:r>
      <w:r>
        <w:rPr>
          <w:lang w:eastAsia="ja-JP"/>
        </w:rPr>
        <w:t>1</w:t>
      </w:r>
      <w:r>
        <w:rPr>
          <w:lang w:eastAsia="ja-JP"/>
        </w:rPr>
        <w:t>）ブルームバーグ（</w:t>
      </w:r>
      <w:r>
        <w:rPr>
          <w:lang w:eastAsia="ja-JP"/>
        </w:rPr>
        <w:t>Bloomberg</w:t>
      </w:r>
      <w:r>
        <w:rPr>
          <w:lang w:eastAsia="ja-JP"/>
        </w:rPr>
        <w:t>）、</w:t>
      </w:r>
      <w:r>
        <w:rPr>
          <w:lang w:eastAsia="ja-JP"/>
        </w:rPr>
        <w:t>2022</w:t>
      </w:r>
      <w:r>
        <w:rPr>
          <w:lang w:eastAsia="ja-JP"/>
        </w:rPr>
        <w:t>年</w:t>
      </w:r>
      <w:r>
        <w:rPr>
          <w:lang w:eastAsia="ja-JP"/>
        </w:rPr>
        <w:t>6</w:t>
      </w:r>
      <w:r>
        <w:rPr>
          <w:lang w:eastAsia="ja-JP"/>
        </w:rPr>
        <w:t>月</w:t>
      </w:r>
      <w:r>
        <w:rPr>
          <w:lang w:eastAsia="ja-JP"/>
        </w:rPr>
        <w:t>9</w:t>
      </w:r>
      <w:r>
        <w:rPr>
          <w:lang w:eastAsia="ja-JP"/>
        </w:rPr>
        <w:t>日現在</w:t>
      </w:r>
    </w:p>
    <w:p w:rsidR="00E539E5" w:rsidRDefault="00BB614F">
      <w:pPr>
        <w:spacing w:before="319"/>
      </w:pPr>
      <w:r>
        <w:t>（注</w:t>
      </w:r>
      <w:r>
        <w:t>2</w:t>
      </w:r>
      <w:r>
        <w:t>）</w:t>
      </w:r>
      <w:r>
        <w:t xml:space="preserve">Insight </w:t>
      </w:r>
      <w:proofErr w:type="spellStart"/>
      <w:r>
        <w:t>Parnters</w:t>
      </w:r>
      <w:proofErr w:type="spellEnd"/>
      <w:r>
        <w:t>、</w:t>
      </w:r>
      <w:r>
        <w:t>2022</w:t>
      </w:r>
      <w:r>
        <w:t>年</w:t>
      </w:r>
      <w:r>
        <w:t>2</w:t>
      </w:r>
      <w:r>
        <w:t>月</w:t>
      </w:r>
      <w:r>
        <w:t>11</w:t>
      </w:r>
      <w:r>
        <w:t>日現在</w:t>
      </w:r>
    </w:p>
    <w:p w:rsidR="00E539E5" w:rsidRDefault="00BB614F">
      <w:pPr>
        <w:spacing w:before="319"/>
      </w:pPr>
      <w:r>
        <w:t>（注</w:t>
      </w:r>
      <w:r>
        <w:t>3</w:t>
      </w:r>
      <w:r>
        <w:t>）世界経済フォーラム（</w:t>
      </w:r>
      <w:r>
        <w:t>World Economic Forum</w:t>
      </w:r>
      <w:r>
        <w:t>）、</w:t>
      </w:r>
      <w:r>
        <w:t>2020</w:t>
      </w:r>
      <w:r>
        <w:t>年</w:t>
      </w:r>
      <w:r>
        <w:t>10</w:t>
      </w:r>
      <w:r>
        <w:t>月</w:t>
      </w:r>
      <w:r>
        <w:t>23</w:t>
      </w:r>
      <w:r>
        <w:t>日現在</w:t>
      </w:r>
    </w:p>
    <w:p w:rsidR="00E539E5" w:rsidRDefault="00BB614F">
      <w:pPr>
        <w:spacing w:before="319"/>
      </w:pPr>
      <w:r>
        <w:t>ETF</w:t>
      </w:r>
      <w:r>
        <w:t>情報</w:t>
      </w:r>
    </w:p>
    <w:tbl>
      <w:tblPr>
        <w:tblStyle w:val="a3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3304"/>
      </w:tblGrid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証券コード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  <w:rPr>
                <w:lang w:eastAsia="ja-JP"/>
              </w:rPr>
            </w:pPr>
            <w:r>
              <w:rPr>
                <w:rFonts w:ascii="Arial" w:hAnsi="Arial"/>
                <w:color w:val="000000"/>
                <w:sz w:val="16"/>
                <w:lang w:eastAsia="ja-JP"/>
              </w:rPr>
              <w:t>香港ドルカウンター</w:t>
            </w:r>
            <w:r>
              <w:rPr>
                <w:rFonts w:ascii="Arial" w:hAnsi="Arial"/>
                <w:color w:val="000000"/>
                <w:sz w:val="16"/>
                <w:lang w:eastAsia="ja-JP"/>
              </w:rPr>
              <w:t>: 3171.HK</w:t>
            </w:r>
          </w:p>
        </w:tc>
      </w:tr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初期投資額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約</w:t>
            </w:r>
            <w:r>
              <w:rPr>
                <w:rFonts w:ascii="Arial" w:hAnsi="Arial"/>
                <w:color w:val="000000"/>
                <w:sz w:val="16"/>
              </w:rPr>
              <w:t>780</w:t>
            </w:r>
            <w:r>
              <w:rPr>
                <w:rFonts w:ascii="Arial" w:hAnsi="Arial"/>
                <w:color w:val="000000"/>
                <w:sz w:val="16"/>
              </w:rPr>
              <w:t>香港ドル</w:t>
            </w:r>
            <w:r>
              <w:rPr>
                <w:rFonts w:ascii="Arial" w:hAnsi="Arial"/>
                <w:color w:val="000000"/>
                <w:sz w:val="16"/>
              </w:rPr>
              <w:t xml:space="preserve">/100 </w:t>
            </w:r>
            <w:r>
              <w:rPr>
                <w:rFonts w:ascii="Arial" w:hAnsi="Arial"/>
                <w:color w:val="000000"/>
                <w:sz w:val="16"/>
              </w:rPr>
              <w:t>米ドル</w:t>
            </w:r>
          </w:p>
        </w:tc>
      </w:tr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取引単位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r>
              <w:rPr>
                <w:rFonts w:ascii="Arial" w:hAnsi="Arial"/>
                <w:color w:val="000000"/>
                <w:sz w:val="16"/>
              </w:rPr>
              <w:t>50</w:t>
            </w:r>
          </w:p>
        </w:tc>
      </w:tr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管理費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年間</w:t>
            </w:r>
            <w:r>
              <w:rPr>
                <w:rFonts w:ascii="Arial" w:hAnsi="Arial"/>
                <w:color w:val="000000"/>
                <w:sz w:val="16"/>
              </w:rPr>
              <w:t>0.85%</w:t>
            </w:r>
          </w:p>
        </w:tc>
      </w:tr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投資戦略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アクティブ運用</w:t>
            </w:r>
          </w:p>
        </w:tc>
      </w:tr>
      <w:tr w:rsidR="00E539E5">
        <w:trPr>
          <w:tblCellSpacing w:w="0" w:type="dxa"/>
        </w:trPr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BB614F">
            <w:pPr>
              <w:ind w:left="57"/>
            </w:pPr>
            <w:r>
              <w:rPr>
                <w:rFonts w:ascii="Arial" w:hAnsi="Arial"/>
                <w:color w:val="000000"/>
                <w:sz w:val="16"/>
              </w:rPr>
              <w:t>商品ウェブサイト</w:t>
            </w:r>
          </w:p>
        </w:tc>
        <w:tc>
          <w:tcPr>
            <w:tcW w:w="0" w:type="auto"/>
            <w:tcMar>
              <w:left w:w="40" w:type="dxa"/>
              <w:right w:w="14" w:type="dxa"/>
            </w:tcMar>
            <w:vAlign w:val="center"/>
          </w:tcPr>
          <w:p w:rsidR="00E539E5" w:rsidRDefault="00A76B6A">
            <w:pPr>
              <w:ind w:left="57"/>
            </w:pPr>
            <w:hyperlink r:id="rId4" w:history="1">
              <w:r w:rsidR="00BB614F">
                <w:rPr>
                  <w:rStyle w:val="a4"/>
                  <w:rFonts w:ascii="Arial" w:hAnsi="Arial"/>
                  <w:color w:val="000000"/>
                  <w:sz w:val="16"/>
                </w:rPr>
                <w:t>http://www.samsungetfhk.com/product/3171/</w:t>
              </w:r>
            </w:hyperlink>
            <w:r w:rsidR="00BB614F"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</w:tbl>
    <w:p w:rsidR="00E539E5" w:rsidRDefault="00BB614F">
      <w:pPr>
        <w:ind w:left="200"/>
      </w:pPr>
      <w:r>
        <w:br/>
      </w:r>
    </w:p>
    <w:p w:rsidR="00E539E5" w:rsidRDefault="00BB614F">
      <w:pPr>
        <w:ind w:left="200"/>
        <w:rPr>
          <w:lang w:eastAsia="ja-JP"/>
        </w:rPr>
      </w:pPr>
      <w:r>
        <w:rPr>
          <w:lang w:eastAsia="ja-JP"/>
        </w:rPr>
        <w:t>詳細は商品ウェブサイトを参照</w:t>
      </w:r>
    </w:p>
    <w:p w:rsidR="00E539E5" w:rsidRDefault="00BB614F">
      <w:pPr>
        <w:ind w:left="200"/>
      </w:pPr>
      <w:r>
        <w:t>商品ウェブサイト：</w:t>
      </w:r>
      <w:hyperlink r:id="rId5" w:history="1">
        <w:r w:rsidR="00E56573" w:rsidRPr="00E56573">
          <w:rPr>
            <w:rStyle w:val="a4"/>
          </w:rPr>
          <w:t>https://www.samsungetfhk.com/product/3171</w:t>
        </w:r>
      </w:hyperlink>
    </w:p>
    <w:p w:rsidR="00E539E5" w:rsidRDefault="00BB614F">
      <w:pPr>
        <w:ind w:left="200"/>
      </w:pPr>
      <w:r>
        <w:t>▽Samsung Asset Management (Hong Kong) Limited</w:t>
      </w:r>
      <w:r>
        <w:t>について</w:t>
      </w:r>
    </w:p>
    <w:p w:rsidR="00E539E5" w:rsidRDefault="00BB614F">
      <w:pPr>
        <w:ind w:left="200"/>
        <w:rPr>
          <w:lang w:eastAsia="ja-JP"/>
        </w:rPr>
      </w:pPr>
      <w:r>
        <w:t>Samsung Asset Management (Hong Kong) Limited</w:t>
      </w:r>
      <w:r>
        <w:t>は香港で主に資産運用と証券投資顧問業務に携わっている。</w:t>
      </w:r>
      <w:r>
        <w:rPr>
          <w:lang w:eastAsia="ja-JP"/>
        </w:rPr>
        <w:t>香港証券先物委員会（</w:t>
      </w:r>
      <w:r>
        <w:rPr>
          <w:lang w:eastAsia="ja-JP"/>
        </w:rPr>
        <w:t>SFC</w:t>
      </w:r>
      <w:r>
        <w:rPr>
          <w:lang w:eastAsia="ja-JP"/>
        </w:rPr>
        <w:t>）からタイプ</w:t>
      </w:r>
      <w:r>
        <w:rPr>
          <w:lang w:eastAsia="ja-JP"/>
        </w:rPr>
        <w:t>4</w:t>
      </w:r>
      <w:r>
        <w:rPr>
          <w:lang w:eastAsia="ja-JP"/>
        </w:rPr>
        <w:t>（証券助言）とタイプ</w:t>
      </w:r>
      <w:r>
        <w:rPr>
          <w:lang w:eastAsia="ja-JP"/>
        </w:rPr>
        <w:t>9</w:t>
      </w:r>
      <w:r>
        <w:rPr>
          <w:lang w:eastAsia="ja-JP"/>
        </w:rPr>
        <w:t>（資産運用）の免許を取得している。</w:t>
      </w:r>
    </w:p>
    <w:p w:rsidR="00E539E5" w:rsidRDefault="00BB614F">
      <w:pPr>
        <w:ind w:left="200"/>
      </w:pPr>
      <w:r>
        <w:t>ソース：</w:t>
      </w:r>
      <w:r>
        <w:t xml:space="preserve"> Samsung Asset Management (Hong Kong) Ltd.</w:t>
      </w:r>
    </w:p>
    <w:p w:rsidR="005C3F4B" w:rsidRPr="005C3F4B" w:rsidRDefault="00BB614F" w:rsidP="005C3F4B">
      <w:r>
        <w:br/>
      </w:r>
      <w:r w:rsidR="005C3F4B" w:rsidRPr="005C3F4B">
        <w:rPr>
          <w:rFonts w:hint="eastAsia"/>
        </w:rPr>
        <w:t>（日本語リリース：クライアント提供）</w:t>
      </w:r>
    </w:p>
    <w:p w:rsidR="00E539E5" w:rsidRDefault="00E539E5" w:rsidP="00D23BA8">
      <w:bookmarkStart w:id="0" w:name="_GoBack"/>
      <w:bookmarkEnd w:id="0"/>
    </w:p>
    <w:sectPr w:rsidR="00E539E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E5"/>
    <w:rsid w:val="001E11FE"/>
    <w:rsid w:val="002D7D67"/>
    <w:rsid w:val="005C3F4B"/>
    <w:rsid w:val="00906173"/>
    <w:rsid w:val="00BB614F"/>
    <w:rsid w:val="00D23BA8"/>
    <w:rsid w:val="00D7268C"/>
    <w:rsid w:val="00E539E5"/>
    <w:rsid w:val="00E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360A1"/>
  <w15:docId w15:val="{94F26747-772F-48CE-AF74-9F8E5DE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7268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268C"/>
  </w:style>
  <w:style w:type="character" w:customStyle="1" w:styleId="a7">
    <w:name w:val="コメント文字列 (文字)"/>
    <w:basedOn w:val="a0"/>
    <w:link w:val="a6"/>
    <w:uiPriority w:val="99"/>
    <w:semiHidden/>
    <w:rsid w:val="00D726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268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726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268C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7268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sungetfhk.com/product/3171" TargetMode="External"/><Relationship Id="rId4" Type="http://schemas.openxmlformats.org/officeDocument/2006/relationships/hyperlink" Target="http://www.samsungetfhk.com/product/31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Terrence Ling</dc:creator>
  <cp:lastModifiedBy>みどり 森田</cp:lastModifiedBy>
  <cp:revision>9</cp:revision>
  <dcterms:created xsi:type="dcterms:W3CDTF">2022-06-08T08:07:00Z</dcterms:created>
  <dcterms:modified xsi:type="dcterms:W3CDTF">2022-06-08T08:12:00Z</dcterms:modified>
</cp:coreProperties>
</file>